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13" w:rsidRPr="007C6813" w:rsidRDefault="007C6813" w:rsidP="007C6813">
      <w:pPr>
        <w:spacing w:before="120" w:after="120" w:line="360" w:lineRule="auto"/>
        <w:jc w:val="right"/>
        <w:rPr>
          <w:rFonts w:ascii="Times New Roman" w:eastAsia="MS Mincho" w:hAnsi="Times New Roman" w:cs="Times New Roman"/>
          <w:color w:val="auto"/>
          <w:sz w:val="28"/>
          <w:szCs w:val="28"/>
          <w:lang w:val="en-GB" w:eastAsia="en-US"/>
        </w:rPr>
      </w:pPr>
      <w:r w:rsidRPr="007C6813">
        <w:rPr>
          <w:rFonts w:ascii="Times New Roman" w:eastAsia="MS Mincho" w:hAnsi="Times New Roman" w:cs="Times New Roman"/>
          <w:color w:val="auto"/>
          <w:sz w:val="28"/>
          <w:szCs w:val="28"/>
          <w:lang w:val="en-GB" w:eastAsia="en-US"/>
        </w:rPr>
        <w:t>Brussels, 31 May 2016</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p>
    <w:p w:rsidR="0088797E" w:rsidRPr="007C6813" w:rsidRDefault="0088797E" w:rsidP="007C6813">
      <w:pPr>
        <w:spacing w:before="120" w:after="120" w:line="360" w:lineRule="auto"/>
        <w:jc w:val="center"/>
        <w:rPr>
          <w:rFonts w:ascii="Times New Roman" w:eastAsia="MS Mincho" w:hAnsi="Times New Roman" w:cs="Times New Roman"/>
          <w:color w:val="auto"/>
          <w:sz w:val="32"/>
          <w:szCs w:val="32"/>
          <w:lang w:val="en-GB" w:eastAsia="en-US"/>
        </w:rPr>
      </w:pP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 xml:space="preserve">Joint Declaration of Intent </w:t>
      </w:r>
    </w:p>
    <w:p w:rsid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p>
    <w:p w:rsid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proofErr w:type="gramStart"/>
      <w:r w:rsidRPr="007C6813">
        <w:rPr>
          <w:rFonts w:ascii="Times New Roman" w:eastAsia="MS Mincho" w:hAnsi="Times New Roman" w:cs="Times New Roman"/>
          <w:color w:val="auto"/>
          <w:sz w:val="32"/>
          <w:szCs w:val="32"/>
          <w:lang w:val="en-GB" w:eastAsia="en-US"/>
        </w:rPr>
        <w:t>by</w:t>
      </w:r>
      <w:proofErr w:type="gramEnd"/>
      <w:r w:rsidRPr="007C6813">
        <w:rPr>
          <w:rFonts w:ascii="Times New Roman" w:eastAsia="MS Mincho" w:hAnsi="Times New Roman" w:cs="Times New Roman"/>
          <w:color w:val="auto"/>
          <w:sz w:val="32"/>
          <w:szCs w:val="32"/>
          <w:lang w:val="en-GB" w:eastAsia="en-US"/>
        </w:rPr>
        <w:t xml:space="preserve"> the</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 xml:space="preserve"> </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 xml:space="preserve">The Netherlands EU </w:t>
      </w:r>
      <w:r w:rsidR="001A4CDA">
        <w:rPr>
          <w:rFonts w:ascii="Times New Roman" w:eastAsia="MS Mincho" w:hAnsi="Times New Roman" w:cs="Times New Roman"/>
          <w:color w:val="auto"/>
          <w:sz w:val="32"/>
          <w:szCs w:val="32"/>
          <w:lang w:val="en-GB" w:eastAsia="en-US"/>
        </w:rPr>
        <w:t>P</w:t>
      </w:r>
      <w:r w:rsidRPr="007C6813">
        <w:rPr>
          <w:rFonts w:ascii="Times New Roman" w:eastAsia="MS Mincho" w:hAnsi="Times New Roman" w:cs="Times New Roman"/>
          <w:color w:val="auto"/>
          <w:sz w:val="32"/>
          <w:szCs w:val="32"/>
          <w:lang w:val="en-GB" w:eastAsia="en-US"/>
        </w:rPr>
        <w:t>residency</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International Olympic Committee</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European Olympic Committee</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proofErr w:type="spellStart"/>
      <w:r w:rsidRPr="007C6813">
        <w:rPr>
          <w:rFonts w:ascii="Times New Roman" w:eastAsia="MS Mincho" w:hAnsi="Times New Roman" w:cs="Times New Roman"/>
          <w:color w:val="auto"/>
          <w:sz w:val="32"/>
          <w:szCs w:val="32"/>
          <w:lang w:val="en-GB" w:eastAsia="en-US"/>
        </w:rPr>
        <w:t>F</w:t>
      </w:r>
      <w:r w:rsidR="00725373" w:rsidRPr="00725373">
        <w:rPr>
          <w:rFonts w:ascii="Times New Roman" w:eastAsia="MS Mincho" w:hAnsi="Times New Roman" w:cs="Times New Roman"/>
          <w:color w:val="auto"/>
          <w:sz w:val="32"/>
          <w:szCs w:val="32"/>
          <w:lang w:val="en-GB" w:eastAsia="en-US"/>
        </w:rPr>
        <w:t>édération</w:t>
      </w:r>
      <w:proofErr w:type="spellEnd"/>
      <w:r w:rsidR="00725373" w:rsidRPr="00725373">
        <w:rPr>
          <w:rFonts w:ascii="Times New Roman" w:eastAsia="MS Mincho" w:hAnsi="Times New Roman" w:cs="Times New Roman"/>
          <w:color w:val="auto"/>
          <w:sz w:val="32"/>
          <w:szCs w:val="32"/>
          <w:lang w:val="en-GB" w:eastAsia="en-US"/>
        </w:rPr>
        <w:t xml:space="preserve"> </w:t>
      </w:r>
      <w:r w:rsidRPr="007C6813">
        <w:rPr>
          <w:rFonts w:ascii="Times New Roman" w:eastAsia="MS Mincho" w:hAnsi="Times New Roman" w:cs="Times New Roman"/>
          <w:color w:val="auto"/>
          <w:sz w:val="32"/>
          <w:szCs w:val="32"/>
          <w:lang w:val="fr-BE" w:eastAsia="en-US"/>
        </w:rPr>
        <w:t>Internationale</w:t>
      </w:r>
      <w:r w:rsidRPr="007C6813">
        <w:rPr>
          <w:rFonts w:ascii="Times New Roman" w:eastAsia="MS Mincho" w:hAnsi="Times New Roman" w:cs="Times New Roman"/>
          <w:color w:val="auto"/>
          <w:sz w:val="32"/>
          <w:szCs w:val="32"/>
          <w:lang w:val="en-GB" w:eastAsia="en-US"/>
        </w:rPr>
        <w:t xml:space="preserve"> de Football Association</w:t>
      </w:r>
    </w:p>
    <w:p w:rsidR="007C6813" w:rsidRPr="007C6813" w:rsidRDefault="007C6813" w:rsidP="007C6813">
      <w:pPr>
        <w:spacing w:before="120" w:after="120" w:line="360" w:lineRule="auto"/>
        <w:jc w:val="center"/>
        <w:rPr>
          <w:rFonts w:ascii="Times New Roman" w:eastAsia="MS Mincho" w:hAnsi="Times New Roman" w:cs="Times New Roman"/>
          <w:color w:val="auto"/>
          <w:sz w:val="32"/>
          <w:szCs w:val="32"/>
          <w:lang w:val="en-GB" w:eastAsia="en-US"/>
        </w:rPr>
      </w:pPr>
      <w:r w:rsidRPr="007C6813">
        <w:rPr>
          <w:rFonts w:ascii="Times New Roman" w:eastAsia="MS Mincho" w:hAnsi="Times New Roman" w:cs="Times New Roman"/>
          <w:color w:val="auto"/>
          <w:sz w:val="32"/>
          <w:szCs w:val="32"/>
          <w:lang w:val="en-GB" w:eastAsia="en-US"/>
        </w:rPr>
        <w:t>Union of European Football Associations</w:t>
      </w:r>
    </w:p>
    <w:p w:rsidR="0088797E" w:rsidRDefault="0088797E" w:rsidP="007C6813">
      <w:pPr>
        <w:spacing w:line="360" w:lineRule="auto"/>
        <w:jc w:val="center"/>
        <w:rPr>
          <w:rFonts w:ascii="Times New Roman" w:eastAsia="MS Mincho" w:hAnsi="Times New Roman" w:cs="Times New Roman"/>
          <w:bCs w:val="0"/>
          <w:color w:val="auto"/>
          <w:sz w:val="28"/>
          <w:szCs w:val="28"/>
          <w:lang w:val="en-GB" w:eastAsia="en-US"/>
        </w:rPr>
      </w:pPr>
    </w:p>
    <w:p w:rsidR="007C6813" w:rsidRDefault="007C6813" w:rsidP="007C6813">
      <w:pPr>
        <w:spacing w:line="360" w:lineRule="auto"/>
        <w:jc w:val="center"/>
        <w:rPr>
          <w:rFonts w:ascii="Times New Roman" w:eastAsia="MS Mincho" w:hAnsi="Times New Roman" w:cs="Times New Roman"/>
          <w:bCs w:val="0"/>
          <w:color w:val="auto"/>
          <w:sz w:val="28"/>
          <w:szCs w:val="28"/>
          <w:lang w:val="en-GB" w:eastAsia="en-US"/>
        </w:rPr>
      </w:pPr>
      <w:proofErr w:type="gramStart"/>
      <w:r>
        <w:rPr>
          <w:rFonts w:ascii="Times New Roman" w:eastAsia="MS Mincho" w:hAnsi="Times New Roman" w:cs="Times New Roman"/>
          <w:bCs w:val="0"/>
          <w:color w:val="auto"/>
          <w:sz w:val="28"/>
          <w:szCs w:val="28"/>
          <w:lang w:val="en-GB" w:eastAsia="en-US"/>
        </w:rPr>
        <w:t>o</w:t>
      </w:r>
      <w:r w:rsidRPr="007C6813">
        <w:rPr>
          <w:rFonts w:ascii="Times New Roman" w:eastAsia="MS Mincho" w:hAnsi="Times New Roman" w:cs="Times New Roman"/>
          <w:bCs w:val="0"/>
          <w:color w:val="auto"/>
          <w:sz w:val="28"/>
          <w:szCs w:val="28"/>
          <w:lang w:val="en-GB" w:eastAsia="en-US"/>
        </w:rPr>
        <w:t>n</w:t>
      </w:r>
      <w:proofErr w:type="gramEnd"/>
    </w:p>
    <w:p w:rsidR="007C6813" w:rsidRDefault="007C6813" w:rsidP="007C6813">
      <w:pPr>
        <w:spacing w:line="360" w:lineRule="auto"/>
        <w:jc w:val="center"/>
        <w:rPr>
          <w:rFonts w:ascii="Times New Roman" w:eastAsia="MS Mincho" w:hAnsi="Times New Roman" w:cs="Times New Roman"/>
          <w:bCs w:val="0"/>
          <w:color w:val="auto"/>
          <w:sz w:val="28"/>
          <w:szCs w:val="28"/>
          <w:lang w:val="en-GB" w:eastAsia="en-US"/>
        </w:rPr>
      </w:pPr>
    </w:p>
    <w:p w:rsidR="0088797E" w:rsidRDefault="0088797E" w:rsidP="007C6813">
      <w:pPr>
        <w:spacing w:line="360" w:lineRule="auto"/>
        <w:jc w:val="center"/>
        <w:rPr>
          <w:rFonts w:ascii="Times New Roman" w:eastAsia="MS Mincho" w:hAnsi="Times New Roman" w:cs="Times New Roman"/>
          <w:bCs w:val="0"/>
          <w:color w:val="auto"/>
          <w:sz w:val="28"/>
          <w:szCs w:val="28"/>
          <w:lang w:val="en-GB" w:eastAsia="en-US"/>
        </w:rPr>
      </w:pPr>
    </w:p>
    <w:p w:rsidR="007C6813" w:rsidRPr="0088797E" w:rsidRDefault="007C6813" w:rsidP="007C6813">
      <w:pPr>
        <w:spacing w:line="360" w:lineRule="auto"/>
        <w:jc w:val="center"/>
        <w:rPr>
          <w:rFonts w:ascii="Times New Roman" w:eastAsia="MS Mincho" w:hAnsi="Times New Roman" w:cs="Times New Roman"/>
          <w:bCs w:val="0"/>
          <w:color w:val="auto"/>
          <w:sz w:val="32"/>
          <w:szCs w:val="32"/>
          <w:lang w:val="en-GB" w:eastAsia="en-US"/>
        </w:rPr>
      </w:pPr>
      <w:proofErr w:type="gramStart"/>
      <w:r w:rsidRPr="0088797E">
        <w:rPr>
          <w:rFonts w:ascii="Times New Roman" w:eastAsia="MS Mincho" w:hAnsi="Times New Roman" w:cs="Times New Roman"/>
          <w:bCs w:val="0"/>
          <w:color w:val="auto"/>
          <w:sz w:val="32"/>
          <w:szCs w:val="32"/>
          <w:lang w:val="en-GB" w:eastAsia="en-US"/>
        </w:rPr>
        <w:t>enhancing</w:t>
      </w:r>
      <w:proofErr w:type="gramEnd"/>
      <w:r w:rsidRPr="0088797E">
        <w:rPr>
          <w:rFonts w:ascii="Times New Roman" w:eastAsia="MS Mincho" w:hAnsi="Times New Roman" w:cs="Times New Roman"/>
          <w:bCs w:val="0"/>
          <w:color w:val="auto"/>
          <w:sz w:val="32"/>
          <w:szCs w:val="32"/>
          <w:lang w:val="en-GB" w:eastAsia="en-US"/>
        </w:rPr>
        <w:t xml:space="preserve"> a regular dialogue on topics regarding major sport events where shared responsibilities of international sport </w:t>
      </w:r>
      <w:r w:rsidR="0088797E">
        <w:rPr>
          <w:rFonts w:ascii="Times New Roman" w:eastAsia="MS Mincho" w:hAnsi="Times New Roman" w:cs="Times New Roman"/>
          <w:bCs w:val="0"/>
          <w:color w:val="auto"/>
          <w:sz w:val="32"/>
          <w:szCs w:val="32"/>
          <w:lang w:val="en-GB" w:eastAsia="en-US"/>
        </w:rPr>
        <w:t xml:space="preserve">and Olympic </w:t>
      </w:r>
      <w:r w:rsidRPr="0088797E">
        <w:rPr>
          <w:rFonts w:ascii="Times New Roman" w:eastAsia="MS Mincho" w:hAnsi="Times New Roman" w:cs="Times New Roman"/>
          <w:bCs w:val="0"/>
          <w:color w:val="auto"/>
          <w:sz w:val="32"/>
          <w:szCs w:val="32"/>
          <w:lang w:val="en-GB" w:eastAsia="en-US"/>
        </w:rPr>
        <w:t>movement and governments of EU Member States and the European Union are involved</w:t>
      </w:r>
    </w:p>
    <w:p w:rsidR="007C6813" w:rsidRPr="007C6813" w:rsidRDefault="007C6813" w:rsidP="007C6813">
      <w:pPr>
        <w:spacing w:line="360" w:lineRule="auto"/>
        <w:rPr>
          <w:rFonts w:ascii="Times New Roman" w:eastAsia="MS Mincho" w:hAnsi="Times New Roman" w:cs="Times New Roman"/>
          <w:b w:val="0"/>
          <w:bCs w:val="0"/>
          <w:color w:val="auto"/>
          <w:sz w:val="24"/>
          <w:szCs w:val="24"/>
          <w:lang w:val="en-GB" w:eastAsia="ja-JP"/>
        </w:rPr>
      </w:pPr>
    </w:p>
    <w:p w:rsidR="0049614F" w:rsidRDefault="0049614F" w:rsidP="007C6813">
      <w:pPr>
        <w:ind w:left="2268"/>
        <w:jc w:val="center"/>
        <w:rPr>
          <w:b w:val="0"/>
          <w:color w:val="000000" w:themeColor="text1"/>
          <w:sz w:val="18"/>
          <w:szCs w:val="18"/>
          <w:lang w:val="en-GB"/>
        </w:rPr>
      </w:pPr>
    </w:p>
    <w:p w:rsidR="007C6813" w:rsidRDefault="007C6813" w:rsidP="007C6813">
      <w:pPr>
        <w:ind w:left="2268"/>
        <w:jc w:val="center"/>
        <w:rPr>
          <w:b w:val="0"/>
          <w:color w:val="000000" w:themeColor="text1"/>
          <w:sz w:val="18"/>
          <w:szCs w:val="18"/>
          <w:lang w:val="en-GB"/>
        </w:rPr>
      </w:pPr>
    </w:p>
    <w:p w:rsidR="007C6813" w:rsidRDefault="007C6813" w:rsidP="007C6813">
      <w:pPr>
        <w:ind w:left="2268"/>
        <w:jc w:val="center"/>
        <w:rPr>
          <w:b w:val="0"/>
          <w:color w:val="000000" w:themeColor="text1"/>
          <w:sz w:val="18"/>
          <w:szCs w:val="18"/>
          <w:lang w:val="en-GB"/>
        </w:rPr>
      </w:pPr>
    </w:p>
    <w:p w:rsidR="0088797E" w:rsidRDefault="0088797E">
      <w:pPr>
        <w:rPr>
          <w:b w:val="0"/>
          <w:color w:val="000000" w:themeColor="text1"/>
          <w:sz w:val="18"/>
          <w:szCs w:val="18"/>
          <w:lang w:val="en-GB"/>
        </w:rPr>
      </w:pPr>
      <w:r>
        <w:rPr>
          <w:b w:val="0"/>
          <w:color w:val="000000" w:themeColor="text1"/>
          <w:sz w:val="18"/>
          <w:szCs w:val="18"/>
          <w:lang w:val="en-GB"/>
        </w:rPr>
        <w:br w:type="page"/>
      </w:r>
    </w:p>
    <w:p w:rsidR="0088797E" w:rsidRDefault="0088797E" w:rsidP="001A4CDA">
      <w:pPr>
        <w:spacing w:before="120" w:after="120" w:line="360" w:lineRule="auto"/>
        <w:jc w:val="both"/>
        <w:rPr>
          <w:rFonts w:ascii="Times New Roman" w:eastAsia="MS Mincho" w:hAnsi="Times New Roman" w:cs="Times New Roman"/>
          <w:bCs w:val="0"/>
          <w:color w:val="auto"/>
          <w:sz w:val="24"/>
          <w:szCs w:val="24"/>
          <w:lang w:val="en-GB" w:eastAsia="ja-JP"/>
        </w:rPr>
      </w:pPr>
      <w:r w:rsidRPr="0088797E">
        <w:rPr>
          <w:rFonts w:ascii="Times New Roman" w:eastAsia="MS Mincho" w:hAnsi="Times New Roman" w:cs="Times New Roman"/>
          <w:bCs w:val="0"/>
          <w:color w:val="auto"/>
          <w:sz w:val="24"/>
          <w:szCs w:val="24"/>
          <w:lang w:val="en-GB" w:eastAsia="ja-JP"/>
        </w:rPr>
        <w:lastRenderedPageBreak/>
        <w:t>Parties involved in this Declaration are willing to:</w:t>
      </w:r>
    </w:p>
    <w:p w:rsidR="0088797E" w:rsidRPr="0088797E" w:rsidRDefault="0088797E" w:rsidP="001A4CDA">
      <w:pPr>
        <w:spacing w:before="120" w:after="120" w:line="360" w:lineRule="auto"/>
        <w:jc w:val="both"/>
        <w:rPr>
          <w:rFonts w:ascii="Times New Roman" w:eastAsia="MS Mincho" w:hAnsi="Times New Roman" w:cs="Times New Roman"/>
          <w:bCs w:val="0"/>
          <w:color w:val="auto"/>
          <w:sz w:val="24"/>
          <w:szCs w:val="24"/>
          <w:lang w:val="en-GB"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Continue organising and supporting accessible and attractive major sport events that are a showpiece for the positive values and benefits of sport and have a positive social, economic and environmental impact in the context of the national, regional or urban development, </w:t>
      </w:r>
    </w:p>
    <w:p w:rsidR="0088797E" w:rsidRPr="0088797E" w:rsidRDefault="0088797E" w:rsidP="001A4CDA">
      <w:pPr>
        <w:spacing w:line="360" w:lineRule="auto"/>
        <w:ind w:left="567"/>
        <w:contextualSpacing/>
        <w:jc w:val="both"/>
        <w:rPr>
          <w:rFonts w:ascii="Times New Roman" w:eastAsia="MS Mincho" w:hAnsi="Times New Roman" w:cs="Times New Roman"/>
          <w:b w:val="0"/>
          <w:bCs w:val="0"/>
          <w:color w:val="auto"/>
          <w:sz w:val="24"/>
          <w:szCs w:val="24"/>
          <w:lang w:val="en-GB"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Intensify dialogue with all stakeholders involved, leading to shared values regarding the organisation of major sport events including and the implementation of the basic principles of good governance, social, economic and environmental sustainability and legacy,</w:t>
      </w:r>
    </w:p>
    <w:p w:rsidR="0088797E" w:rsidRPr="0088797E" w:rsidRDefault="0088797E" w:rsidP="001A4CDA">
      <w:pPr>
        <w:spacing w:line="360" w:lineRule="auto"/>
        <w:ind w:left="567"/>
        <w:contextualSpacing/>
        <w:jc w:val="both"/>
        <w:rPr>
          <w:rFonts w:ascii="Times New Roman" w:eastAsia="MS Mincho" w:hAnsi="Times New Roman" w:cs="Times New Roman"/>
          <w:b w:val="0"/>
          <w:bCs w:val="0"/>
          <w:color w:val="auto"/>
          <w:sz w:val="24"/>
          <w:szCs w:val="24"/>
          <w:lang w:val="en-GB"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Promote the value of major sport events and the need to implement integrity, transparency and good governance during all phases of the organisation and legacy of major sport events,  </w:t>
      </w:r>
    </w:p>
    <w:p w:rsidR="0088797E" w:rsidRPr="0088797E" w:rsidRDefault="0088797E" w:rsidP="001A4CDA">
      <w:pPr>
        <w:spacing w:after="160" w:line="259" w:lineRule="auto"/>
        <w:ind w:left="720"/>
        <w:contextualSpacing/>
        <w:jc w:val="both"/>
        <w:rPr>
          <w:rFonts w:ascii="Calibri" w:eastAsia="MS Mincho" w:hAnsi="Calibri" w:cs="Times New Roman"/>
          <w:b w:val="0"/>
          <w:bCs w:val="0"/>
          <w:color w:val="auto"/>
          <w:sz w:val="22"/>
          <w:szCs w:val="22"/>
          <w:lang w:val="en-GB"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Discuss and make transparent the criteria and requirements regarding integrity, sustainability and legacy and costs for the organisation of major sport events, as well as for the supporting and funding of major sport events by public authorities and international sport organisations, thus contributing to strengthening the trust of  citizens,</w:t>
      </w:r>
    </w:p>
    <w:p w:rsidR="0088797E" w:rsidRPr="0088797E" w:rsidRDefault="0088797E" w:rsidP="001A4CDA">
      <w:pPr>
        <w:spacing w:after="160" w:line="259" w:lineRule="auto"/>
        <w:ind w:left="720"/>
        <w:contextualSpacing/>
        <w:jc w:val="both"/>
        <w:rPr>
          <w:rFonts w:ascii="Calibri" w:eastAsia="MS Mincho" w:hAnsi="Calibri" w:cs="Times New Roman"/>
          <w:b w:val="0"/>
          <w:bCs w:val="0"/>
          <w:i/>
          <w:color w:val="auto"/>
          <w:sz w:val="22"/>
          <w:szCs w:val="22"/>
          <w:lang w:val="en-GB" w:eastAsia="ja-JP"/>
        </w:rPr>
      </w:pPr>
      <w:bookmarkStart w:id="0" w:name="_GoBack"/>
      <w:bookmarkEnd w:id="0"/>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With respect to each role and responsibilities and acknowledging that many sports bodies and organisers of major sports events conduct their activities and organise sports competitions at  a level which goes beyond the EU Member States, subsequently, operating across different jurisdictions and within varying structures and set ups, the parties will take the initiative to develop and agree on a shared agenda and undertake common actions such as: </w:t>
      </w:r>
    </w:p>
    <w:p w:rsidR="001A4CDA" w:rsidRDefault="0088797E" w:rsidP="001A4CDA">
      <w:pPr>
        <w:pStyle w:val="ListParagraph"/>
        <w:numPr>
          <w:ilvl w:val="1"/>
          <w:numId w:val="1"/>
        </w:numPr>
        <w:spacing w:before="120" w:after="120" w:line="360" w:lineRule="auto"/>
        <w:ind w:left="1778"/>
        <w:jc w:val="both"/>
        <w:rPr>
          <w:rFonts w:ascii="Times New Roman" w:eastAsia="MS Mincho" w:hAnsi="Times New Roman" w:cs="Times New Roman"/>
          <w:b w:val="0"/>
          <w:bCs w:val="0"/>
          <w:color w:val="auto"/>
          <w:sz w:val="24"/>
          <w:szCs w:val="24"/>
          <w:lang w:val="en-GB" w:eastAsia="ja-JP"/>
        </w:rPr>
      </w:pPr>
      <w:r w:rsidRPr="001A4CDA">
        <w:rPr>
          <w:rFonts w:ascii="Times New Roman" w:eastAsia="MS Mincho" w:hAnsi="Times New Roman" w:cs="Times New Roman" w:hint="eastAsia"/>
          <w:b w:val="0"/>
          <w:bCs w:val="0"/>
          <w:color w:val="auto"/>
          <w:sz w:val="24"/>
          <w:szCs w:val="24"/>
          <w:lang w:val="en-GB" w:eastAsia="ja-JP"/>
        </w:rPr>
        <w:t>develop</w:t>
      </w:r>
      <w:r w:rsidRPr="001A4CDA">
        <w:rPr>
          <w:rFonts w:ascii="Times New Roman" w:eastAsia="MS Mincho" w:hAnsi="Times New Roman" w:cs="Times New Roman"/>
          <w:b w:val="0"/>
          <w:bCs w:val="0"/>
          <w:color w:val="auto"/>
          <w:sz w:val="24"/>
          <w:szCs w:val="24"/>
          <w:lang w:val="en-GB" w:eastAsia="ja-JP"/>
        </w:rPr>
        <w:t>ing</w:t>
      </w:r>
      <w:r w:rsidRPr="001A4CDA">
        <w:rPr>
          <w:rFonts w:ascii="Times New Roman" w:eastAsia="MS Mincho" w:hAnsi="Times New Roman" w:cs="Times New Roman" w:hint="eastAsia"/>
          <w:b w:val="0"/>
          <w:bCs w:val="0"/>
          <w:color w:val="auto"/>
          <w:sz w:val="24"/>
          <w:szCs w:val="24"/>
          <w:lang w:val="en-GB" w:eastAsia="ja-JP"/>
        </w:rPr>
        <w:t xml:space="preserve"> </w:t>
      </w:r>
      <w:r w:rsidRPr="001A4CDA">
        <w:rPr>
          <w:rFonts w:ascii="Times New Roman" w:eastAsia="MS Mincho" w:hAnsi="Times New Roman" w:cs="Times New Roman"/>
          <w:b w:val="0"/>
          <w:bCs w:val="0"/>
          <w:color w:val="auto"/>
          <w:sz w:val="24"/>
          <w:szCs w:val="24"/>
          <w:lang w:val="en-GB" w:eastAsia="ja-JP"/>
        </w:rPr>
        <w:t xml:space="preserve">guiding models for public-private cooperation at national and regional level for hosting and organizing major sport events; </w:t>
      </w:r>
    </w:p>
    <w:p w:rsidR="0088797E" w:rsidRPr="0088797E" w:rsidRDefault="0088797E" w:rsidP="001A4CDA">
      <w:pPr>
        <w:pStyle w:val="ListParagraph"/>
        <w:numPr>
          <w:ilvl w:val="1"/>
          <w:numId w:val="1"/>
        </w:numPr>
        <w:spacing w:before="120" w:after="120" w:line="360" w:lineRule="auto"/>
        <w:ind w:left="1778"/>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lastRenderedPageBreak/>
        <w:t xml:space="preserve">developing </w:t>
      </w:r>
      <w:r w:rsidRPr="0088797E">
        <w:rPr>
          <w:rFonts w:ascii="Times New Roman" w:eastAsia="MS Mincho" w:hAnsi="Times New Roman" w:cs="Times New Roman" w:hint="eastAsia"/>
          <w:b w:val="0"/>
          <w:bCs w:val="0"/>
          <w:color w:val="auto"/>
          <w:sz w:val="24"/>
          <w:szCs w:val="24"/>
          <w:lang w:val="en-GB" w:eastAsia="ja-JP"/>
        </w:rPr>
        <w:t xml:space="preserve">a code of conduct for all </w:t>
      </w:r>
      <w:r w:rsidRPr="0088797E">
        <w:rPr>
          <w:rFonts w:ascii="Times New Roman" w:eastAsia="MS Mincho" w:hAnsi="Times New Roman" w:cs="Times New Roman"/>
          <w:b w:val="0"/>
          <w:bCs w:val="0"/>
          <w:color w:val="auto"/>
          <w:sz w:val="24"/>
          <w:szCs w:val="24"/>
          <w:lang w:val="en-GB" w:eastAsia="ja-JP"/>
        </w:rPr>
        <w:t>public and private parties</w:t>
      </w:r>
      <w:r w:rsidRPr="0088797E">
        <w:rPr>
          <w:rFonts w:ascii="Times New Roman" w:eastAsia="MS Mincho" w:hAnsi="Times New Roman" w:cs="Times New Roman" w:hint="eastAsia"/>
          <w:b w:val="0"/>
          <w:bCs w:val="0"/>
          <w:color w:val="auto"/>
          <w:sz w:val="24"/>
          <w:szCs w:val="24"/>
          <w:lang w:val="en-GB" w:eastAsia="ja-JP"/>
        </w:rPr>
        <w:t xml:space="preserve"> </w:t>
      </w:r>
      <w:r w:rsidRPr="0088797E">
        <w:rPr>
          <w:rFonts w:ascii="Times New Roman" w:eastAsia="MS Mincho" w:hAnsi="Times New Roman" w:cs="Times New Roman"/>
          <w:b w:val="0"/>
          <w:bCs w:val="0"/>
          <w:color w:val="auto"/>
          <w:sz w:val="24"/>
          <w:szCs w:val="24"/>
          <w:lang w:val="en-GB" w:eastAsia="ja-JP"/>
        </w:rPr>
        <w:t xml:space="preserve">at national level </w:t>
      </w:r>
      <w:r w:rsidRPr="0088797E">
        <w:rPr>
          <w:rFonts w:ascii="Times New Roman" w:eastAsia="MS Mincho" w:hAnsi="Times New Roman" w:cs="Times New Roman" w:hint="eastAsia"/>
          <w:b w:val="0"/>
          <w:bCs w:val="0"/>
          <w:color w:val="auto"/>
          <w:sz w:val="24"/>
          <w:szCs w:val="24"/>
          <w:lang w:val="en-GB" w:eastAsia="ja-JP"/>
        </w:rPr>
        <w:t xml:space="preserve">involved </w:t>
      </w:r>
      <w:r w:rsidRPr="0088797E">
        <w:rPr>
          <w:rFonts w:ascii="Times New Roman" w:eastAsia="MS Mincho" w:hAnsi="Times New Roman" w:cs="Times New Roman"/>
          <w:b w:val="0"/>
          <w:bCs w:val="0"/>
          <w:color w:val="auto"/>
          <w:sz w:val="24"/>
          <w:szCs w:val="24"/>
          <w:lang w:val="en-GB" w:eastAsia="ja-JP"/>
        </w:rPr>
        <w:t xml:space="preserve">in the organisation of major sport events based on existing experiences for example the ethical code developed by the IOC   </w:t>
      </w:r>
    </w:p>
    <w:p w:rsidR="0088797E" w:rsidRPr="0088797E" w:rsidRDefault="0088797E" w:rsidP="001A4CDA">
      <w:pPr>
        <w:numPr>
          <w:ilvl w:val="1"/>
          <w:numId w:val="1"/>
        </w:numPr>
        <w:spacing w:before="120" w:after="120" w:line="360" w:lineRule="auto"/>
        <w:ind w:left="1778"/>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exchanging information and discuss topics regarding future major sport events such as the sustainability and legacy; criteria related to integrity and good governance, specific demands of associations and associated costs, possible administrative and legislative obstacles at European level and a safe and secure environment for events; </w:t>
      </w:r>
    </w:p>
    <w:p w:rsidR="0088797E" w:rsidRPr="0088797E" w:rsidRDefault="0088797E" w:rsidP="001A4CDA">
      <w:pPr>
        <w:numPr>
          <w:ilvl w:val="1"/>
          <w:numId w:val="1"/>
        </w:numPr>
        <w:spacing w:before="120" w:after="160" w:line="360" w:lineRule="auto"/>
        <w:ind w:left="1778"/>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evaluating existing models for joint (multi-country) major sport events and developing new guiding models where appropriate</w:t>
      </w:r>
      <w:r w:rsidRPr="0088797E">
        <w:rPr>
          <w:rFonts w:ascii="Calibri" w:eastAsia="MS Mincho" w:hAnsi="Calibri" w:cs="Times New Roman"/>
          <w:b w:val="0"/>
          <w:bCs w:val="0"/>
          <w:color w:val="auto"/>
          <w:sz w:val="22"/>
          <w:szCs w:val="22"/>
          <w:lang w:val="en-US" w:eastAsia="ja-JP"/>
        </w:rPr>
        <w:t xml:space="preserve"> </w:t>
      </w:r>
    </w:p>
    <w:p w:rsidR="0088797E" w:rsidRPr="0088797E" w:rsidRDefault="0088797E" w:rsidP="001A4CDA">
      <w:pPr>
        <w:numPr>
          <w:ilvl w:val="1"/>
          <w:numId w:val="1"/>
        </w:numPr>
        <w:spacing w:before="120" w:after="120" w:line="360" w:lineRule="auto"/>
        <w:ind w:left="1778"/>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sharing and publishing good practices and learning experiences about the integrity, transparency and good governance of major sport events, including sustainability and legacy aspects,</w:t>
      </w:r>
    </w:p>
    <w:p w:rsidR="0088797E" w:rsidRPr="0088797E" w:rsidRDefault="0088797E" w:rsidP="001A4CDA">
      <w:pPr>
        <w:numPr>
          <w:ilvl w:val="1"/>
          <w:numId w:val="1"/>
        </w:numPr>
        <w:spacing w:before="120" w:after="120" w:line="360" w:lineRule="auto"/>
        <w:ind w:left="1778"/>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sharing and using guidelines, methods, tools and results including: </w:t>
      </w:r>
    </w:p>
    <w:p w:rsidR="0088797E" w:rsidRPr="0088797E" w:rsidRDefault="0088797E" w:rsidP="001A4CDA">
      <w:pPr>
        <w:numPr>
          <w:ilvl w:val="2"/>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reliable cost-benefit analyses; </w:t>
      </w:r>
    </w:p>
    <w:p w:rsidR="0088797E" w:rsidRPr="0088797E" w:rsidRDefault="0088797E" w:rsidP="001A4CDA">
      <w:pPr>
        <w:numPr>
          <w:ilvl w:val="2"/>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measuring the support of the population; </w:t>
      </w:r>
    </w:p>
    <w:p w:rsidR="0088797E" w:rsidRPr="0088797E" w:rsidRDefault="0088797E" w:rsidP="001A4CDA">
      <w:pPr>
        <w:numPr>
          <w:ilvl w:val="2"/>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measuring the social, economic and environmental impacts and legacies of major sport events; </w:t>
      </w:r>
    </w:p>
    <w:p w:rsidR="0088797E" w:rsidRPr="0088797E" w:rsidRDefault="0088797E" w:rsidP="001A4CDA">
      <w:pPr>
        <w:numPr>
          <w:ilvl w:val="2"/>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external and independent auditing of major sport events,</w:t>
      </w:r>
    </w:p>
    <w:p w:rsidR="0088797E" w:rsidRPr="0088797E" w:rsidRDefault="0088797E" w:rsidP="001A4CDA">
      <w:pPr>
        <w:numPr>
          <w:ilvl w:val="1"/>
          <w:numId w:val="1"/>
        </w:numPr>
        <w:spacing w:before="120" w:after="120" w:line="360" w:lineRule="auto"/>
        <w:ind w:left="1778"/>
        <w:contextualSpacing/>
        <w:jc w:val="both"/>
        <w:rPr>
          <w:rFonts w:ascii="Times New Roman" w:eastAsia="MS Mincho" w:hAnsi="Times New Roman" w:cs="Times New Roman"/>
          <w:b w:val="0"/>
          <w:bCs w:val="0"/>
          <w:color w:val="auto"/>
          <w:sz w:val="24"/>
          <w:szCs w:val="24"/>
          <w:lang w:val="en-US" w:eastAsia="ja-JP"/>
        </w:rPr>
      </w:pPr>
      <w:r w:rsidRPr="0088797E">
        <w:rPr>
          <w:rFonts w:ascii="Times New Roman" w:eastAsia="MS Mincho" w:hAnsi="Times New Roman" w:cs="Times New Roman"/>
          <w:b w:val="0"/>
          <w:bCs w:val="0"/>
          <w:color w:val="auto"/>
          <w:sz w:val="24"/>
          <w:szCs w:val="24"/>
          <w:lang w:val="en-US" w:eastAsia="ja-JP"/>
        </w:rPr>
        <w:t xml:space="preserve">encouraging event organizers and public authorities to make proper arrangements to conduct a survey of the social, economic and environmental impact of the event to the hosting country, region or city and the international sport </w:t>
      </w:r>
      <w:proofErr w:type="spellStart"/>
      <w:r w:rsidRPr="0088797E">
        <w:rPr>
          <w:rFonts w:ascii="Times New Roman" w:eastAsia="MS Mincho" w:hAnsi="Times New Roman" w:cs="Times New Roman"/>
          <w:b w:val="0"/>
          <w:bCs w:val="0"/>
          <w:color w:val="auto"/>
          <w:sz w:val="24"/>
          <w:szCs w:val="24"/>
          <w:lang w:val="en-US" w:eastAsia="ja-JP"/>
        </w:rPr>
        <w:t>organisations</w:t>
      </w:r>
      <w:proofErr w:type="spellEnd"/>
      <w:r w:rsidRPr="0088797E">
        <w:rPr>
          <w:rFonts w:ascii="Times New Roman" w:eastAsia="MS Mincho" w:hAnsi="Times New Roman" w:cs="Times New Roman"/>
          <w:b w:val="0"/>
          <w:bCs w:val="0"/>
          <w:color w:val="auto"/>
          <w:sz w:val="24"/>
          <w:szCs w:val="24"/>
          <w:lang w:val="en-US" w:eastAsia="ja-JP"/>
        </w:rPr>
        <w:t xml:space="preserve"> involved, after the closure of the event;</w:t>
      </w:r>
    </w:p>
    <w:p w:rsidR="0088797E" w:rsidRPr="0088797E" w:rsidRDefault="0088797E" w:rsidP="001A4CDA">
      <w:pPr>
        <w:spacing w:line="360" w:lineRule="auto"/>
        <w:ind w:left="1647"/>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 xml:space="preserve"> </w:t>
      </w: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US" w:eastAsia="ja-JP"/>
        </w:rPr>
      </w:pPr>
      <w:proofErr w:type="spellStart"/>
      <w:r w:rsidRPr="0088797E">
        <w:rPr>
          <w:rFonts w:ascii="Times New Roman" w:eastAsia="MS Mincho" w:hAnsi="Times New Roman" w:cs="Times New Roman"/>
          <w:b w:val="0"/>
          <w:bCs w:val="0"/>
          <w:color w:val="auto"/>
          <w:sz w:val="24"/>
          <w:szCs w:val="24"/>
          <w:lang w:val="en-US" w:eastAsia="ja-JP"/>
        </w:rPr>
        <w:lastRenderedPageBreak/>
        <w:t>Organise</w:t>
      </w:r>
      <w:proofErr w:type="spellEnd"/>
      <w:r w:rsidRPr="0088797E">
        <w:rPr>
          <w:rFonts w:ascii="Times New Roman" w:eastAsia="MS Mincho" w:hAnsi="Times New Roman" w:cs="Times New Roman"/>
          <w:b w:val="0"/>
          <w:bCs w:val="0"/>
          <w:color w:val="auto"/>
          <w:sz w:val="24"/>
          <w:szCs w:val="24"/>
          <w:lang w:val="en-US" w:eastAsia="ja-JP"/>
        </w:rPr>
        <w:t xml:space="preserve"> a regular high-level dialogue as part of the EU structured dialogue on sport, with governmental representatives, representatives of the European and international Olympic movement and European and international sport federations involved in major sport events, and independent experts, where appropriate. Based on a shared agenda and actions, such as mentioned in paragraph 5, the topics regarding major sport events, where governments and sport </w:t>
      </w:r>
      <w:proofErr w:type="spellStart"/>
      <w:r w:rsidRPr="0088797E">
        <w:rPr>
          <w:rFonts w:ascii="Times New Roman" w:eastAsia="MS Mincho" w:hAnsi="Times New Roman" w:cs="Times New Roman"/>
          <w:b w:val="0"/>
          <w:bCs w:val="0"/>
          <w:color w:val="auto"/>
          <w:sz w:val="24"/>
          <w:szCs w:val="24"/>
          <w:lang w:val="en-US" w:eastAsia="ja-JP"/>
        </w:rPr>
        <w:t>organisations</w:t>
      </w:r>
      <w:proofErr w:type="spellEnd"/>
      <w:r w:rsidRPr="0088797E">
        <w:rPr>
          <w:rFonts w:ascii="Times New Roman" w:eastAsia="MS Mincho" w:hAnsi="Times New Roman" w:cs="Times New Roman"/>
          <w:b w:val="0"/>
          <w:bCs w:val="0"/>
          <w:color w:val="auto"/>
          <w:sz w:val="24"/>
          <w:szCs w:val="24"/>
          <w:lang w:val="en-US" w:eastAsia="ja-JP"/>
        </w:rPr>
        <w:t xml:space="preserve"> share responsibilities, and exchange information, could be discussed.</w:t>
      </w:r>
    </w:p>
    <w:p w:rsidR="0088797E" w:rsidRPr="0088797E" w:rsidRDefault="0088797E" w:rsidP="001A4CDA">
      <w:pPr>
        <w:spacing w:line="259" w:lineRule="auto"/>
        <w:ind w:left="567"/>
        <w:contextualSpacing/>
        <w:jc w:val="both"/>
        <w:rPr>
          <w:rFonts w:ascii="Calibri" w:eastAsia="MS Mincho" w:hAnsi="Calibri" w:cs="Times New Roman"/>
          <w:b w:val="0"/>
          <w:bCs w:val="0"/>
          <w:color w:val="auto"/>
          <w:sz w:val="22"/>
          <w:szCs w:val="22"/>
          <w:lang w:val="en-US" w:eastAsia="ja-JP"/>
        </w:rPr>
      </w:pPr>
    </w:p>
    <w:p w:rsidR="0088797E" w:rsidRPr="0088797E" w:rsidRDefault="0088797E" w:rsidP="001A4CDA">
      <w:pPr>
        <w:spacing w:before="120" w:after="120" w:line="360" w:lineRule="auto"/>
        <w:jc w:val="both"/>
        <w:rPr>
          <w:rFonts w:ascii="Times New Roman" w:eastAsia="MS Mincho" w:hAnsi="Times New Roman" w:cs="Times New Roman"/>
          <w:bCs w:val="0"/>
          <w:color w:val="auto"/>
          <w:sz w:val="24"/>
          <w:szCs w:val="24"/>
          <w:lang w:val="en-GB" w:eastAsia="ja-JP"/>
        </w:rPr>
      </w:pPr>
      <w:r w:rsidRPr="0088797E">
        <w:rPr>
          <w:rFonts w:ascii="Times New Roman" w:eastAsia="MS Mincho" w:hAnsi="Times New Roman" w:cs="Times New Roman"/>
          <w:bCs w:val="0"/>
          <w:color w:val="auto"/>
          <w:sz w:val="24"/>
          <w:szCs w:val="24"/>
          <w:lang w:val="en-GB" w:eastAsia="ja-JP"/>
        </w:rPr>
        <w:t>This Declaration is based on:</w:t>
      </w: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US" w:eastAsia="en-US"/>
        </w:rPr>
      </w:pPr>
      <w:r w:rsidRPr="0088797E">
        <w:rPr>
          <w:rFonts w:ascii="Times New Roman" w:eastAsia="MS Mincho" w:hAnsi="Times New Roman" w:cs="Times New Roman"/>
          <w:b w:val="0"/>
          <w:bCs w:val="0"/>
          <w:color w:val="auto"/>
          <w:sz w:val="24"/>
          <w:szCs w:val="24"/>
          <w:lang w:val="en-US" w:eastAsia="en-US"/>
        </w:rPr>
        <w:t xml:space="preserve">The Conclusions of the Council and of the Representatives of the Governments of the </w:t>
      </w:r>
      <w:r w:rsidR="00DD6A28">
        <w:rPr>
          <w:rFonts w:ascii="Times New Roman" w:eastAsia="MS Mincho" w:hAnsi="Times New Roman" w:cs="Times New Roman"/>
          <w:b w:val="0"/>
          <w:bCs w:val="0"/>
          <w:color w:val="auto"/>
          <w:sz w:val="24"/>
          <w:szCs w:val="24"/>
          <w:lang w:val="en-US" w:eastAsia="en-US"/>
        </w:rPr>
        <w:t xml:space="preserve">EU </w:t>
      </w:r>
      <w:r w:rsidRPr="0088797E">
        <w:rPr>
          <w:rFonts w:ascii="Times New Roman" w:eastAsia="MS Mincho" w:hAnsi="Times New Roman" w:cs="Times New Roman"/>
          <w:b w:val="0"/>
          <w:bCs w:val="0"/>
          <w:color w:val="auto"/>
          <w:sz w:val="24"/>
          <w:szCs w:val="24"/>
          <w:lang w:val="en-US" w:eastAsia="en-US"/>
        </w:rPr>
        <w:t>Member States, meeting within the Council, on enhancing integrity, transparency and good governance in major sport events</w:t>
      </w:r>
      <w:r w:rsidR="00DD6A28">
        <w:rPr>
          <w:rFonts w:ascii="Times New Roman" w:eastAsia="MS Mincho" w:hAnsi="Times New Roman" w:cs="Times New Roman"/>
          <w:b w:val="0"/>
          <w:bCs w:val="0"/>
          <w:color w:val="auto"/>
          <w:sz w:val="24"/>
          <w:szCs w:val="24"/>
          <w:lang w:val="en-US" w:eastAsia="en-US"/>
        </w:rPr>
        <w:t xml:space="preserve"> adopted on 31 May 2016</w:t>
      </w:r>
    </w:p>
    <w:p w:rsidR="0088797E" w:rsidRPr="0088797E" w:rsidRDefault="0088797E" w:rsidP="001A4CDA">
      <w:pPr>
        <w:spacing w:line="360" w:lineRule="auto"/>
        <w:ind w:left="567"/>
        <w:contextualSpacing/>
        <w:jc w:val="both"/>
        <w:rPr>
          <w:rFonts w:ascii="Times New Roman" w:eastAsia="MS Mincho" w:hAnsi="Times New Roman" w:cs="Times New Roman"/>
          <w:b w:val="0"/>
          <w:bCs w:val="0"/>
          <w:color w:val="auto"/>
          <w:sz w:val="24"/>
          <w:szCs w:val="24"/>
          <w:lang w:val="en-US"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en-US"/>
        </w:rPr>
        <w:t>The guiding principles and international standards relating to democracy, human rights and labour rights and the principles of good governance,</w:t>
      </w:r>
      <w:r w:rsidR="003C3BBA">
        <w:rPr>
          <w:rFonts w:ascii="Times New Roman" w:eastAsia="MS Mincho" w:hAnsi="Times New Roman" w:cs="Times New Roman"/>
          <w:b w:val="0"/>
          <w:bCs w:val="0"/>
          <w:color w:val="auto"/>
          <w:sz w:val="24"/>
          <w:szCs w:val="24"/>
          <w:lang w:val="en-GB" w:eastAsia="en-US"/>
        </w:rPr>
        <w:t xml:space="preserve"> (</w:t>
      </w:r>
      <w:r w:rsidR="003C3BBA" w:rsidRPr="003C3BBA">
        <w:rPr>
          <w:rFonts w:ascii="Times New Roman" w:eastAsia="MS Mincho" w:hAnsi="Times New Roman" w:cs="Times New Roman"/>
          <w:b w:val="0"/>
          <w:bCs w:val="0"/>
          <w:color w:val="auto"/>
          <w:sz w:val="24"/>
          <w:szCs w:val="24"/>
          <w:lang w:val="en-GB" w:eastAsia="en-US"/>
        </w:rPr>
        <w:t>doc 14183/13</w:t>
      </w:r>
      <w:r w:rsidR="003C3BBA">
        <w:rPr>
          <w:rFonts w:ascii="Times New Roman" w:eastAsia="MS Mincho" w:hAnsi="Times New Roman" w:cs="Times New Roman"/>
          <w:b w:val="0"/>
          <w:bCs w:val="0"/>
          <w:color w:val="auto"/>
          <w:sz w:val="24"/>
          <w:szCs w:val="24"/>
          <w:lang w:val="en-GB" w:eastAsia="en-US"/>
        </w:rPr>
        <w:t>)</w:t>
      </w:r>
      <w:r w:rsidRPr="0088797E">
        <w:rPr>
          <w:rFonts w:ascii="Times New Roman" w:eastAsia="MS Mincho" w:hAnsi="Times New Roman" w:cs="Times New Roman"/>
          <w:b w:val="0"/>
          <w:bCs w:val="0"/>
          <w:color w:val="auto"/>
          <w:sz w:val="24"/>
          <w:szCs w:val="24"/>
          <w:lang w:val="en-GB" w:eastAsia="en-US"/>
        </w:rPr>
        <w:t xml:space="preserve"> </w:t>
      </w:r>
    </w:p>
    <w:p w:rsidR="0088797E" w:rsidRPr="0088797E" w:rsidRDefault="0088797E" w:rsidP="001A4CDA">
      <w:pPr>
        <w:spacing w:after="160" w:line="259" w:lineRule="auto"/>
        <w:ind w:left="720"/>
        <w:contextualSpacing/>
        <w:jc w:val="both"/>
        <w:rPr>
          <w:rFonts w:ascii="Calibri" w:eastAsia="MS Mincho" w:hAnsi="Calibri" w:cs="Times New Roman"/>
          <w:b w:val="0"/>
          <w:bCs w:val="0"/>
          <w:color w:val="auto"/>
          <w:sz w:val="22"/>
          <w:szCs w:val="22"/>
          <w:lang w:val="en-GB" w:eastAsia="ja-JP"/>
        </w:rPr>
      </w:pPr>
    </w:p>
    <w:p w:rsidR="00DD6A28"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en-US"/>
        </w:rPr>
        <w:t xml:space="preserve">The Olympic Agenda 2020 adopted by the International Olympic Committee during its 127th session held on 12 December 2014, incorporating recommendations devoting significant attention to integrity issues and making sustainable development an integral part of the Olympic Games, </w:t>
      </w:r>
    </w:p>
    <w:p w:rsidR="00DD6A28" w:rsidRDefault="00DD6A28" w:rsidP="001A4CDA">
      <w:pPr>
        <w:pStyle w:val="ListParagraph"/>
        <w:jc w:val="both"/>
        <w:rPr>
          <w:rFonts w:ascii="Times New Roman" w:eastAsia="MS Mincho" w:hAnsi="Times New Roman" w:cs="Times New Roman"/>
          <w:b w:val="0"/>
          <w:bCs w:val="0"/>
          <w:color w:val="auto"/>
          <w:sz w:val="24"/>
          <w:szCs w:val="24"/>
          <w:lang w:val="en-GB" w:eastAsia="ja-JP"/>
        </w:rPr>
      </w:pPr>
    </w:p>
    <w:p w:rsidR="0088797E" w:rsidRPr="0088797E" w:rsidRDefault="0088797E" w:rsidP="001A4CDA">
      <w:pPr>
        <w:numPr>
          <w:ilvl w:val="0"/>
          <w:numId w:val="1"/>
        </w:numPr>
        <w:spacing w:before="120" w:after="120" w:line="360" w:lineRule="auto"/>
        <w:contextualSpacing/>
        <w:jc w:val="both"/>
        <w:rPr>
          <w:rFonts w:ascii="Times New Roman" w:eastAsia="MS Mincho" w:hAnsi="Times New Roman" w:cs="Times New Roman"/>
          <w:b w:val="0"/>
          <w:bCs w:val="0"/>
          <w:color w:val="auto"/>
          <w:sz w:val="24"/>
          <w:szCs w:val="24"/>
          <w:lang w:val="en-GB" w:eastAsia="ja-JP"/>
        </w:rPr>
      </w:pPr>
      <w:r w:rsidRPr="0088797E">
        <w:rPr>
          <w:rFonts w:ascii="Times New Roman" w:eastAsia="MS Mincho" w:hAnsi="Times New Roman" w:cs="Times New Roman"/>
          <w:b w:val="0"/>
          <w:bCs w:val="0"/>
          <w:color w:val="auto"/>
          <w:sz w:val="24"/>
          <w:szCs w:val="24"/>
          <w:lang w:val="en-GB" w:eastAsia="ja-JP"/>
        </w:rPr>
        <w:t>FIFA reforms and other plans and arrangements of international sport federations and national authorities enhancing integrity, transparency and good governance in major sport events.</w:t>
      </w:r>
    </w:p>
    <w:sectPr w:rsidR="0088797E" w:rsidRPr="0088797E" w:rsidSect="00DD6A28">
      <w:headerReference w:type="default" r:id="rId9"/>
      <w:pgSz w:w="11900" w:h="16840"/>
      <w:pgMar w:top="1440" w:right="1418" w:bottom="1134" w:left="3402" w:header="709" w:footer="709" w:gutter="0"/>
      <w:cols w:space="708"/>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13" w:rsidRDefault="007C6813" w:rsidP="00093B7E">
      <w:r>
        <w:separator/>
      </w:r>
    </w:p>
  </w:endnote>
  <w:endnote w:type="continuationSeparator" w:id="0">
    <w:p w:rsidR="007C6813" w:rsidRDefault="007C6813" w:rsidP="0009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RijksoverheidSansHeading-Regula">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13" w:rsidRDefault="007C6813" w:rsidP="00093B7E">
      <w:r>
        <w:separator/>
      </w:r>
    </w:p>
  </w:footnote>
  <w:footnote w:type="continuationSeparator" w:id="0">
    <w:p w:rsidR="007C6813" w:rsidRDefault="007C6813" w:rsidP="0009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7E" w:rsidRDefault="00093B7E">
    <w:pPr>
      <w:pStyle w:val="Header"/>
    </w:pPr>
    <w:r>
      <w:rPr>
        <w:noProof/>
        <w:lang w:eastAsia="zh-CN"/>
      </w:rPr>
      <w:drawing>
        <wp:anchor distT="0" distB="0" distL="114300" distR="114300" simplePos="0" relativeHeight="251658240" behindDoc="1" locked="1" layoutInCell="1" allowOverlap="1" wp14:anchorId="4A24860B" wp14:editId="76373360">
          <wp:simplePos x="0" y="0"/>
          <wp:positionH relativeFrom="page">
            <wp:align>left</wp:align>
          </wp:positionH>
          <wp:positionV relativeFrom="page">
            <wp:align>top</wp:align>
          </wp:positionV>
          <wp:extent cx="2120900" cy="10693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oog.png"/>
                  <pic:cNvPicPr/>
                </pic:nvPicPr>
                <pic:blipFill>
                  <a:blip r:embed="rId1">
                    <a:extLst>
                      <a:ext uri="{28A0092B-C50C-407E-A947-70E740481C1C}">
                        <a14:useLocalDpi xmlns:a14="http://schemas.microsoft.com/office/drawing/2010/main" val="0"/>
                      </a:ext>
                    </a:extLst>
                  </a:blip>
                  <a:stretch>
                    <a:fillRect/>
                  </a:stretch>
                </pic:blipFill>
                <pic:spPr>
                  <a:xfrm>
                    <a:off x="0" y="0"/>
                    <a:ext cx="21209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E0DD8"/>
    <w:multiLevelType w:val="hybridMultilevel"/>
    <w:tmpl w:val="0DB40B7C"/>
    <w:lvl w:ilvl="0" w:tplc="410E24C0">
      <w:start w:val="1"/>
      <w:numFmt w:val="decimal"/>
      <w:lvlText w:val="%1."/>
      <w:lvlJc w:val="left"/>
      <w:pPr>
        <w:ind w:left="567" w:hanging="567"/>
      </w:pPr>
      <w:rPr>
        <w:rFonts w:eastAsia="MS Mincho" w:hint="default"/>
      </w:rPr>
    </w:lvl>
    <w:lvl w:ilvl="1" w:tplc="04130019">
      <w:start w:val="1"/>
      <w:numFmt w:val="lowerLetter"/>
      <w:lvlText w:val="%2."/>
      <w:lvlJc w:val="left"/>
      <w:pPr>
        <w:ind w:left="1211"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13"/>
    <w:rsid w:val="00090C57"/>
    <w:rsid w:val="00093B7E"/>
    <w:rsid w:val="001A4CDA"/>
    <w:rsid w:val="003818C8"/>
    <w:rsid w:val="003C3BBA"/>
    <w:rsid w:val="0049614F"/>
    <w:rsid w:val="00680777"/>
    <w:rsid w:val="00725373"/>
    <w:rsid w:val="007C6813"/>
    <w:rsid w:val="0088797E"/>
    <w:rsid w:val="00B234E5"/>
    <w:rsid w:val="00DD6A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RijksoverheidSansHeading-Regula"/>
        <w:b/>
        <w:bCs/>
        <w:color w:val="FFFFFF" w:themeColor="background1"/>
        <w:sz w:val="36"/>
        <w:szCs w:val="36"/>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7E"/>
    <w:pPr>
      <w:tabs>
        <w:tab w:val="center" w:pos="4536"/>
        <w:tab w:val="right" w:pos="9072"/>
      </w:tabs>
    </w:pPr>
  </w:style>
  <w:style w:type="character" w:customStyle="1" w:styleId="HeaderChar">
    <w:name w:val="Header Char"/>
    <w:basedOn w:val="DefaultParagraphFont"/>
    <w:link w:val="Header"/>
    <w:uiPriority w:val="99"/>
    <w:rsid w:val="00093B7E"/>
  </w:style>
  <w:style w:type="paragraph" w:styleId="Footer">
    <w:name w:val="footer"/>
    <w:basedOn w:val="Normal"/>
    <w:link w:val="FooterChar"/>
    <w:uiPriority w:val="99"/>
    <w:unhideWhenUsed/>
    <w:rsid w:val="00093B7E"/>
    <w:pPr>
      <w:tabs>
        <w:tab w:val="center" w:pos="4536"/>
        <w:tab w:val="right" w:pos="9072"/>
      </w:tabs>
    </w:pPr>
  </w:style>
  <w:style w:type="character" w:customStyle="1" w:styleId="FooterChar">
    <w:name w:val="Footer Char"/>
    <w:basedOn w:val="DefaultParagraphFont"/>
    <w:link w:val="Footer"/>
    <w:uiPriority w:val="99"/>
    <w:rsid w:val="00093B7E"/>
  </w:style>
  <w:style w:type="paragraph" w:styleId="BalloonText">
    <w:name w:val="Balloon Text"/>
    <w:basedOn w:val="Normal"/>
    <w:link w:val="BalloonTextChar"/>
    <w:uiPriority w:val="99"/>
    <w:semiHidden/>
    <w:unhideWhenUsed/>
    <w:rsid w:val="00093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7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88797E"/>
    <w:rPr>
      <w:sz w:val="20"/>
      <w:szCs w:val="20"/>
    </w:rPr>
  </w:style>
  <w:style w:type="character" w:customStyle="1" w:styleId="FootnoteTextChar">
    <w:name w:val="Footnote Text Char"/>
    <w:basedOn w:val="DefaultParagraphFont"/>
    <w:link w:val="FootnoteText"/>
    <w:uiPriority w:val="99"/>
    <w:semiHidden/>
    <w:rsid w:val="0088797E"/>
    <w:rPr>
      <w:sz w:val="20"/>
      <w:szCs w:val="20"/>
    </w:rPr>
  </w:style>
  <w:style w:type="character" w:styleId="FootnoteReference">
    <w:name w:val="footnote reference"/>
    <w:uiPriority w:val="99"/>
    <w:rsid w:val="0088797E"/>
    <w:rPr>
      <w:b w:val="0"/>
      <w:shd w:val="clear" w:color="auto" w:fill="auto"/>
      <w:vertAlign w:val="superscript"/>
    </w:rPr>
  </w:style>
  <w:style w:type="paragraph" w:styleId="ListParagraph">
    <w:name w:val="List Paragraph"/>
    <w:basedOn w:val="Normal"/>
    <w:uiPriority w:val="34"/>
    <w:qFormat/>
    <w:rsid w:val="00887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RijksoverheidSansHeading-Regula"/>
        <w:b/>
        <w:bCs/>
        <w:color w:val="FFFFFF" w:themeColor="background1"/>
        <w:sz w:val="36"/>
        <w:szCs w:val="36"/>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7E"/>
    <w:pPr>
      <w:tabs>
        <w:tab w:val="center" w:pos="4536"/>
        <w:tab w:val="right" w:pos="9072"/>
      </w:tabs>
    </w:pPr>
  </w:style>
  <w:style w:type="character" w:customStyle="1" w:styleId="HeaderChar">
    <w:name w:val="Header Char"/>
    <w:basedOn w:val="DefaultParagraphFont"/>
    <w:link w:val="Header"/>
    <w:uiPriority w:val="99"/>
    <w:rsid w:val="00093B7E"/>
  </w:style>
  <w:style w:type="paragraph" w:styleId="Footer">
    <w:name w:val="footer"/>
    <w:basedOn w:val="Normal"/>
    <w:link w:val="FooterChar"/>
    <w:uiPriority w:val="99"/>
    <w:unhideWhenUsed/>
    <w:rsid w:val="00093B7E"/>
    <w:pPr>
      <w:tabs>
        <w:tab w:val="center" w:pos="4536"/>
        <w:tab w:val="right" w:pos="9072"/>
      </w:tabs>
    </w:pPr>
  </w:style>
  <w:style w:type="character" w:customStyle="1" w:styleId="FooterChar">
    <w:name w:val="Footer Char"/>
    <w:basedOn w:val="DefaultParagraphFont"/>
    <w:link w:val="Footer"/>
    <w:uiPriority w:val="99"/>
    <w:rsid w:val="00093B7E"/>
  </w:style>
  <w:style w:type="paragraph" w:styleId="BalloonText">
    <w:name w:val="Balloon Text"/>
    <w:basedOn w:val="Normal"/>
    <w:link w:val="BalloonTextChar"/>
    <w:uiPriority w:val="99"/>
    <w:semiHidden/>
    <w:unhideWhenUsed/>
    <w:rsid w:val="00093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7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88797E"/>
    <w:rPr>
      <w:sz w:val="20"/>
      <w:szCs w:val="20"/>
    </w:rPr>
  </w:style>
  <w:style w:type="character" w:customStyle="1" w:styleId="FootnoteTextChar">
    <w:name w:val="Footnote Text Char"/>
    <w:basedOn w:val="DefaultParagraphFont"/>
    <w:link w:val="FootnoteText"/>
    <w:uiPriority w:val="99"/>
    <w:semiHidden/>
    <w:rsid w:val="0088797E"/>
    <w:rPr>
      <w:sz w:val="20"/>
      <w:szCs w:val="20"/>
    </w:rPr>
  </w:style>
  <w:style w:type="character" w:styleId="FootnoteReference">
    <w:name w:val="footnote reference"/>
    <w:uiPriority w:val="99"/>
    <w:rsid w:val="0088797E"/>
    <w:rPr>
      <w:b w:val="0"/>
      <w:shd w:val="clear" w:color="auto" w:fill="auto"/>
      <w:vertAlign w:val="superscript"/>
    </w:rPr>
  </w:style>
  <w:style w:type="paragraph" w:styleId="ListParagraph">
    <w:name w:val="List Paragraph"/>
    <w:basedOn w:val="Normal"/>
    <w:uiPriority w:val="34"/>
    <w:qFormat/>
    <w:rsid w:val="0088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RE-VWS\VZ-SCHAP%20NL%202016\Sjablonen\Sjabloon%20visuele%20elementen%20EUNL%20Word%20A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3004-6528-49F9-9491-EA784222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visuele elementen EUNL Word A4</Template>
  <TotalTime>21</TotalTime>
  <Pages>4</Pages>
  <Words>776</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Ooijen, Bart</dc:creator>
  <cp:lastModifiedBy>Ooijen, Bart</cp:lastModifiedBy>
  <cp:revision>3</cp:revision>
  <dcterms:created xsi:type="dcterms:W3CDTF">2016-05-25T21:48:00Z</dcterms:created>
  <dcterms:modified xsi:type="dcterms:W3CDTF">2016-05-25T22:09:00Z</dcterms:modified>
</cp:coreProperties>
</file>